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7062" w:rsidRPr="005F0E74" w:rsidRDefault="00CB6D18">
      <w:pPr>
        <w:pStyle w:val="a3"/>
        <w:rPr>
          <w:rFonts w:ascii="標楷體" w:eastAsia="標楷體" w:hAnsi="標楷體"/>
          <w:sz w:val="17"/>
        </w:rPr>
      </w:pPr>
      <w:r w:rsidRPr="005F0E74">
        <w:rPr>
          <w:rFonts w:ascii="標楷體" w:eastAsia="標楷體" w:hAnsi="標楷體"/>
          <w:noProof/>
        </w:rPr>
        <w:drawing>
          <wp:anchor distT="0" distB="0" distL="0" distR="0" simplePos="0" relativeHeight="4875371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1FE9">
        <w:rPr>
          <w:rFonts w:ascii="標楷體" w:eastAsia="標楷體" w:hAnsi="標楷體"/>
        </w:rPr>
        <w:pict>
          <v:shape id="_x0000_s1029" style="position:absolute;margin-left:324.4pt;margin-top:100.6pt;width:43.1pt;height:6pt;z-index:15729152;mso-position-horizontal-relative:page;mso-position-vertical-relative:page" coordorigin="3244,1006" coordsize="863,121" path="m3334,1127r,-15l3349,1112r15,l3414,1094r57,-9l3531,1082r58,l3663,1080r78,-4l3819,1072r81,-4l3981,1067r15,l4011,1067r3,l3996,1067r-85,l3827,1065r-85,-1l3657,1062r-85,-4l3488,1053r-85,-7l3319,1036r-14,l3291,1036r-12,l3274,1036r-19,-3l3244,1028r,-5l3259,1021r73,-8l3408,1009r77,-2l3561,1006r73,l3711,1006r78,l4107,1006r-2,l4097,1006r-11,l4010,1010r-76,2l3857,1013r-78,l3702,1013r-79,l3546,1014r-76,3l3394,1021r-20,8l3358,1034r-13,1l3334,1036r15,15l3394,1062r45,10l3484,1079r45,3l3544,1082r15,l3559,1067e" filled="f" strokecolor="white" strokeweight="1.5pt">
            <v:path arrowok="t"/>
            <o:lock v:ext="edit" verticies="t"/>
            <w10:wrap anchorx="page" anchory="page"/>
          </v:shape>
        </w:pict>
      </w:r>
      <w:r w:rsidR="007E1FE9">
        <w:rPr>
          <w:rFonts w:ascii="標楷體" w:eastAsia="標楷體" w:hAnsi="標楷體"/>
        </w:rPr>
        <w:pict>
          <v:shape id="_x0000_s1027" style="position:absolute;margin-left:829pt;margin-top:96.1pt;width:60.05pt;height:2.25pt;z-index:15730176;mso-position-horizontal-relative:page;mso-position-vertical-relative:page" coordorigin="8290,961" coordsize="1202,46" path="m9492,1007r-34,-3l9424,999r-33,-5l9357,992r-84,-12l9190,972r-84,-6l9022,963r-83,-2l8854,961r-84,l8682,961r-86,l8301,961r-11,e" filled="f" strokecolor="white" strokeweight="10.5pt">
            <v:path arrowok="t"/>
            <o:lock v:ext="edit" verticies="t"/>
            <w10:wrap anchorx="page" anchory="page"/>
          </v:shape>
        </w:pict>
      </w:r>
      <w:r w:rsidR="007E1FE9">
        <w:rPr>
          <w:rFonts w:ascii="標楷體" w:eastAsia="標楷體" w:hAnsi="標楷體"/>
        </w:rPr>
        <w:pict>
          <v:polyline id="_x0000_s1026" style="position:absolute;z-index:15730688;mso-position-horizontal-relative:page;mso-position-vertical-relative:page" points="789.95pt,181.25pt,790.3pt,180.8pt,791.15pt,180.5pt,792.15pt,180.2pt,792.95pt,179.75pt,795.9pt,178.75pt,799.05pt,177.85pt,802.35pt,177pt,805.7pt,176pt,806.05pt,175.85pt,806.75pt,175.6pt,807.3pt,175.35pt,807.2pt,175.25pt,803pt,175.2pt,798.75pt,175.1pt,794.45pt,175.05pt,790.1pt,175.15pt,785.85pt,175.4pt,781.65pt,176pt,781pt,176pt,780.15pt,176.1pt,779.35pt,176.3pt,778.65pt,176.75pt,779.4pt,176.75pt,782.35pt,177.6pt,785.5pt,178.15pt,788.8pt,178.55pt,792.2pt,179pt,796.3pt,179.7pt,800.4pt,180.25pt,804.5pt,180.7pt,808.5pt,181pt,812.4pt,181.2pt,816.2pt,181.25pt,816.3pt,181.25pt,815.65pt,181.25pt,814.75pt,181.25pt,813.95pt,181.25pt,810.2pt,181.2pt,806.35pt,181.15pt,802.5pt,181pt,798.65pt,180.85pt,794.75pt,180.7pt,790.85pt,180.45pt,787pt,180.25pt,783.2pt,180pt,779.4pt,179.75pt,781.6pt,180.15pt,784.5pt,180.4pt,787.65pt,180.5pt,790.7pt,180.5pt,793.9pt,180.5pt,797.45pt,180.5pt,800.4pt,180.5pt,801.95pt,180.5pt,798.05pt,180.5pt,794.15pt,180.5pt,790.3pt,180.5pt,759.9pt,180.5pt,759.15pt,179.75pt,759.9pt,179.75pt,790.9pt,179.75pt,794.8pt,179.75pt,798.65pt,179.75pt,802.55pt,179.75pt,806.4pt,179.75pt,810.2pt,179.75pt,806.35pt,179.75pt,802.55pt,179.75pt,798.7pt,179.75pt,794.9pt,179.75pt,791.05pt,179.75pt,771.9pt,179.75pt,770.2pt,179.75pt,768.55pt,179.65pt,766.85pt,179.4pt,765.15pt,179pt,764.4pt,179pt,763.65pt,179pt" coordorigin="5061,1167" coordsize="1143,124" filled="f" strokecolor="white" strokeweight="1.5pt">
            <v:path arrowok="t"/>
            <o:lock v:ext="edit" verticies="t"/>
            <w10:wrap anchorx="page" anchory="page"/>
          </v:polyline>
        </w:pict>
      </w:r>
    </w:p>
    <w:p w:rsidR="001E7062" w:rsidRPr="005F0E74" w:rsidRDefault="001E7062">
      <w:pPr>
        <w:rPr>
          <w:rFonts w:ascii="標楷體" w:eastAsia="標楷體" w:hAnsi="標楷體"/>
          <w:sz w:val="17"/>
        </w:rPr>
        <w:sectPr w:rsidR="001E7062" w:rsidRPr="005F0E74">
          <w:type w:val="continuous"/>
          <w:pgSz w:w="11910" w:h="16850"/>
          <w:pgMar w:top="820" w:right="1042" w:bottom="280" w:left="1200" w:header="720" w:footer="720" w:gutter="0"/>
          <w:cols w:space="720"/>
        </w:sectPr>
      </w:pPr>
    </w:p>
    <w:p w:rsidR="001E7062" w:rsidRPr="005F0E74" w:rsidRDefault="00CB6D18">
      <w:pPr>
        <w:pStyle w:val="a3"/>
        <w:rPr>
          <w:rFonts w:ascii="標楷體" w:eastAsia="標楷體" w:hAnsi="標楷體"/>
          <w:sz w:val="17"/>
        </w:rPr>
      </w:pPr>
      <w:bookmarkStart w:id="0" w:name="_GoBack"/>
      <w:r w:rsidRPr="005F0E74">
        <w:rPr>
          <w:rFonts w:ascii="標楷體" w:eastAsia="標楷體" w:hAnsi="標楷體"/>
          <w:noProof/>
        </w:rPr>
        <w:lastRenderedPageBreak/>
        <w:drawing>
          <wp:anchor distT="0" distB="0" distL="0" distR="0" simplePos="0" relativeHeight="487539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1E7062" w:rsidRPr="005F0E74" w:rsidRDefault="001E7062">
      <w:pPr>
        <w:rPr>
          <w:rFonts w:ascii="標楷體" w:eastAsia="標楷體" w:hAnsi="標楷體"/>
          <w:sz w:val="17"/>
        </w:rPr>
        <w:sectPr w:rsidR="001E7062" w:rsidRPr="005F0E74">
          <w:pgSz w:w="11910" w:h="16850"/>
          <w:pgMar w:top="1600" w:right="1042" w:bottom="280" w:left="1200" w:header="720" w:footer="720" w:gutter="0"/>
          <w:cols w:space="720"/>
        </w:sectPr>
      </w:pPr>
    </w:p>
    <w:p w:rsidR="001E7062" w:rsidRPr="005F0E74" w:rsidRDefault="00CB6D18">
      <w:pPr>
        <w:pStyle w:val="a3"/>
        <w:rPr>
          <w:rFonts w:ascii="標楷體" w:eastAsia="標楷體" w:hAnsi="標楷體"/>
          <w:sz w:val="17"/>
        </w:rPr>
      </w:pPr>
      <w:r w:rsidRPr="005F0E74">
        <w:rPr>
          <w:rFonts w:ascii="標楷體" w:eastAsia="標楷體" w:hAnsi="標楷體"/>
          <w:noProof/>
        </w:rPr>
        <w:lastRenderedPageBreak/>
        <w:drawing>
          <wp:anchor distT="0" distB="0" distL="0" distR="0" simplePos="0" relativeHeight="487540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7062" w:rsidRPr="005F0E74" w:rsidRDefault="001E7062">
      <w:pPr>
        <w:rPr>
          <w:rFonts w:ascii="標楷體" w:eastAsia="標楷體" w:hAnsi="標楷體"/>
          <w:sz w:val="17"/>
        </w:rPr>
        <w:sectPr w:rsidR="001E7062" w:rsidRPr="005F0E74">
          <w:pgSz w:w="11910" w:h="16850"/>
          <w:pgMar w:top="1600" w:right="1042" w:bottom="280" w:left="1200" w:header="720" w:footer="720" w:gutter="0"/>
          <w:cols w:space="720"/>
        </w:sectPr>
      </w:pPr>
    </w:p>
    <w:p w:rsidR="001E7062" w:rsidRPr="005F0E74" w:rsidRDefault="00CB6D18">
      <w:pPr>
        <w:pStyle w:val="a3"/>
        <w:spacing w:before="9"/>
        <w:ind w:left="4016" w:right="4174"/>
        <w:jc w:val="center"/>
        <w:rPr>
          <w:rFonts w:ascii="標楷體" w:eastAsia="標楷體" w:hAnsi="標楷體"/>
        </w:rPr>
      </w:pPr>
      <w:r w:rsidRPr="005F0E74">
        <w:rPr>
          <w:rFonts w:ascii="標楷體" w:eastAsia="標楷體" w:hAnsi="標楷體"/>
        </w:rPr>
        <w:lastRenderedPageBreak/>
        <w:t>成果照片</w:t>
      </w:r>
    </w:p>
    <w:p w:rsidR="001E7062" w:rsidRPr="005F0E74" w:rsidRDefault="001E7062">
      <w:pPr>
        <w:pStyle w:val="a3"/>
        <w:spacing w:before="11"/>
        <w:rPr>
          <w:rFonts w:ascii="標楷體" w:eastAsia="標楷體" w:hAnsi="標楷體"/>
          <w:sz w:val="7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77"/>
        <w:gridCol w:w="4645"/>
      </w:tblGrid>
      <w:tr w:rsidR="001E7062" w:rsidRPr="005F0E74">
        <w:trPr>
          <w:trHeight w:val="3936"/>
        </w:trPr>
        <w:tc>
          <w:tcPr>
            <w:tcW w:w="4777" w:type="dxa"/>
          </w:tcPr>
          <w:p w:rsidR="001E7062" w:rsidRPr="005F0E74" w:rsidRDefault="001E7062">
            <w:pPr>
              <w:pStyle w:val="TableParagraph"/>
              <w:spacing w:before="2" w:after="1"/>
              <w:ind w:left="0"/>
              <w:rPr>
                <w:rFonts w:ascii="標楷體" w:eastAsia="標楷體" w:hAnsi="標楷體"/>
                <w:sz w:val="19"/>
              </w:rPr>
            </w:pPr>
          </w:p>
          <w:p w:rsidR="001E7062" w:rsidRPr="005F0E74" w:rsidRDefault="00CB6D18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6785" cy="2179320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1E7062" w:rsidRPr="005F0E74" w:rsidRDefault="001E7062">
            <w:pPr>
              <w:pStyle w:val="TableParagraph"/>
              <w:spacing w:before="2" w:after="1"/>
              <w:ind w:left="0"/>
              <w:rPr>
                <w:rFonts w:ascii="標楷體" w:eastAsia="標楷體" w:hAnsi="標楷體"/>
                <w:sz w:val="19"/>
              </w:rPr>
            </w:pPr>
          </w:p>
          <w:p w:rsidR="001E7062" w:rsidRPr="005F0E74" w:rsidRDefault="00CB6D18">
            <w:pPr>
              <w:pStyle w:val="TableParagraph"/>
              <w:ind w:left="53" w:right="-44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5247" cy="2179320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247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062" w:rsidRPr="005F0E74">
        <w:trPr>
          <w:trHeight w:val="760"/>
        </w:trPr>
        <w:tc>
          <w:tcPr>
            <w:tcW w:w="4777" w:type="dxa"/>
          </w:tcPr>
          <w:p w:rsidR="001E7062" w:rsidRPr="005F0E74" w:rsidRDefault="00CB6D18">
            <w:pPr>
              <w:pStyle w:val="TableParagraph"/>
              <w:spacing w:before="11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pacing w:val="-1"/>
                <w:sz w:val="24"/>
              </w:rPr>
              <w:t>說明:</w:t>
            </w:r>
            <w:proofErr w:type="gramStart"/>
            <w:r w:rsidRPr="005F0E74">
              <w:rPr>
                <w:rFonts w:ascii="標楷體" w:eastAsia="標楷體" w:hAnsi="標楷體"/>
                <w:spacing w:val="-1"/>
                <w:sz w:val="24"/>
              </w:rPr>
              <w:t>因應新冠肺炎</w:t>
            </w:r>
            <w:proofErr w:type="gramEnd"/>
            <w:r w:rsidRPr="005F0E74">
              <w:rPr>
                <w:rFonts w:ascii="標楷體" w:eastAsia="標楷體" w:hAnsi="標楷體"/>
                <w:spacing w:val="-1"/>
                <w:sz w:val="24"/>
              </w:rPr>
              <w:t>,全體人員戴口罩上課</w:t>
            </w:r>
          </w:p>
        </w:tc>
        <w:tc>
          <w:tcPr>
            <w:tcW w:w="4645" w:type="dxa"/>
          </w:tcPr>
          <w:p w:rsidR="001E7062" w:rsidRPr="005F0E74" w:rsidRDefault="00CB6D18">
            <w:pPr>
              <w:pStyle w:val="TableParagraph"/>
              <w:spacing w:before="11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z w:val="24"/>
              </w:rPr>
              <w:t>說明:教師敘明課程進行時之規定</w:t>
            </w:r>
          </w:p>
        </w:tc>
      </w:tr>
      <w:tr w:rsidR="001E7062" w:rsidRPr="005F0E74">
        <w:trPr>
          <w:trHeight w:val="3998"/>
        </w:trPr>
        <w:tc>
          <w:tcPr>
            <w:tcW w:w="4777" w:type="dxa"/>
          </w:tcPr>
          <w:p w:rsidR="001E7062" w:rsidRPr="005F0E74" w:rsidRDefault="001E7062">
            <w:pPr>
              <w:pStyle w:val="TableParagraph"/>
              <w:spacing w:before="5"/>
              <w:ind w:left="0"/>
              <w:rPr>
                <w:rFonts w:ascii="標楷體" w:eastAsia="標楷體" w:hAnsi="標楷體"/>
                <w:sz w:val="21"/>
              </w:rPr>
            </w:pPr>
          </w:p>
          <w:p w:rsidR="001E7062" w:rsidRPr="005F0E74" w:rsidRDefault="00CB6D18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6785" cy="2179320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1E7062" w:rsidRPr="005F0E74" w:rsidRDefault="001E7062">
            <w:pPr>
              <w:pStyle w:val="TableParagraph"/>
              <w:spacing w:before="5"/>
              <w:ind w:left="0"/>
              <w:rPr>
                <w:rFonts w:ascii="標楷體" w:eastAsia="標楷體" w:hAnsi="標楷體"/>
                <w:sz w:val="21"/>
              </w:rPr>
            </w:pPr>
          </w:p>
          <w:p w:rsidR="001E7062" w:rsidRPr="005F0E74" w:rsidRDefault="00CB6D18">
            <w:pPr>
              <w:pStyle w:val="TableParagraph"/>
              <w:ind w:left="53" w:right="-44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5247" cy="2179320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247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062" w:rsidRPr="005F0E74">
        <w:trPr>
          <w:trHeight w:val="719"/>
        </w:trPr>
        <w:tc>
          <w:tcPr>
            <w:tcW w:w="4777" w:type="dxa"/>
          </w:tcPr>
          <w:p w:rsidR="001E7062" w:rsidRPr="005F0E74" w:rsidRDefault="00CB6D18">
            <w:pPr>
              <w:pStyle w:val="TableParagraph"/>
              <w:spacing w:before="11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z w:val="24"/>
              </w:rPr>
              <w:t>說明:透過「看見臺灣」的影片,讓學生了解</w:t>
            </w:r>
          </w:p>
          <w:p w:rsidR="001E7062" w:rsidRPr="005F0E74" w:rsidRDefault="00CB6D18">
            <w:pPr>
              <w:pStyle w:val="TableParagraph"/>
              <w:spacing w:before="25" w:line="328" w:lineRule="exact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z w:val="24"/>
              </w:rPr>
              <w:t>臺灣的海洋經濟</w:t>
            </w:r>
          </w:p>
        </w:tc>
        <w:tc>
          <w:tcPr>
            <w:tcW w:w="4645" w:type="dxa"/>
          </w:tcPr>
          <w:p w:rsidR="001E7062" w:rsidRPr="005F0E74" w:rsidRDefault="00CB6D18">
            <w:pPr>
              <w:pStyle w:val="TableParagraph"/>
              <w:spacing w:before="11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z w:val="24"/>
              </w:rPr>
              <w:t>說明:讓學生發表看完影片的觀察點</w:t>
            </w:r>
          </w:p>
        </w:tc>
      </w:tr>
      <w:tr w:rsidR="001E7062" w:rsidRPr="005F0E74">
        <w:trPr>
          <w:trHeight w:val="3936"/>
        </w:trPr>
        <w:tc>
          <w:tcPr>
            <w:tcW w:w="4777" w:type="dxa"/>
          </w:tcPr>
          <w:p w:rsidR="001E7062" w:rsidRPr="005F0E74" w:rsidRDefault="001E7062">
            <w:pPr>
              <w:pStyle w:val="TableParagraph"/>
              <w:spacing w:before="13"/>
              <w:ind w:left="0"/>
              <w:rPr>
                <w:rFonts w:ascii="標楷體" w:eastAsia="標楷體" w:hAnsi="標楷體"/>
                <w:sz w:val="18"/>
              </w:rPr>
            </w:pPr>
          </w:p>
          <w:p w:rsidR="001E7062" w:rsidRPr="005F0E74" w:rsidRDefault="00CB6D18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6785" cy="2179320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1E7062" w:rsidRPr="005F0E74" w:rsidRDefault="001E7062">
            <w:pPr>
              <w:pStyle w:val="TableParagraph"/>
              <w:spacing w:before="13"/>
              <w:ind w:left="0"/>
              <w:rPr>
                <w:rFonts w:ascii="標楷體" w:eastAsia="標楷體" w:hAnsi="標楷體"/>
                <w:sz w:val="18"/>
              </w:rPr>
            </w:pPr>
          </w:p>
          <w:p w:rsidR="001E7062" w:rsidRPr="005F0E74" w:rsidRDefault="00CB6D18">
            <w:pPr>
              <w:pStyle w:val="TableParagraph"/>
              <w:ind w:left="53" w:right="-44"/>
              <w:rPr>
                <w:rFonts w:ascii="標楷體" w:eastAsia="標楷體" w:hAnsi="標楷體"/>
                <w:sz w:val="20"/>
              </w:rPr>
            </w:pPr>
            <w:r w:rsidRPr="005F0E74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905247" cy="2179320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247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062" w:rsidRPr="005F0E74">
        <w:trPr>
          <w:trHeight w:val="760"/>
        </w:trPr>
        <w:tc>
          <w:tcPr>
            <w:tcW w:w="4777" w:type="dxa"/>
          </w:tcPr>
          <w:p w:rsidR="001E7062" w:rsidRPr="005F0E74" w:rsidRDefault="00CB6D18">
            <w:pPr>
              <w:pStyle w:val="TableParagraph"/>
              <w:spacing w:before="11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z w:val="24"/>
              </w:rPr>
              <w:t>說明:教師行間巡視</w:t>
            </w:r>
          </w:p>
        </w:tc>
        <w:tc>
          <w:tcPr>
            <w:tcW w:w="4645" w:type="dxa"/>
          </w:tcPr>
          <w:p w:rsidR="001E7062" w:rsidRPr="005F0E74" w:rsidRDefault="00CB6D18">
            <w:pPr>
              <w:pStyle w:val="TableParagraph"/>
              <w:spacing w:before="11" w:line="256" w:lineRule="auto"/>
              <w:ind w:right="163"/>
              <w:rPr>
                <w:rFonts w:ascii="標楷體" w:eastAsia="標楷體" w:hAnsi="標楷體"/>
                <w:sz w:val="24"/>
              </w:rPr>
            </w:pPr>
            <w:r w:rsidRPr="005F0E74">
              <w:rPr>
                <w:rFonts w:ascii="標楷體" w:eastAsia="標楷體" w:hAnsi="標楷體"/>
                <w:spacing w:val="-1"/>
                <w:sz w:val="24"/>
              </w:rPr>
              <w:t>說明:請學生發表:如果他是政府人員,會做</w:t>
            </w:r>
            <w:r w:rsidRPr="005F0E74">
              <w:rPr>
                <w:rFonts w:ascii="標楷體" w:eastAsia="標楷體" w:hAnsi="標楷體"/>
                <w:sz w:val="24"/>
              </w:rPr>
              <w:t>出什麼決策</w:t>
            </w:r>
          </w:p>
        </w:tc>
      </w:tr>
    </w:tbl>
    <w:p w:rsidR="005F0E74" w:rsidRPr="005F0E74" w:rsidRDefault="005F0E74">
      <w:pPr>
        <w:rPr>
          <w:rFonts w:ascii="標楷體" w:eastAsia="標楷體" w:hAnsi="標楷體"/>
        </w:rPr>
        <w:sectPr w:rsidR="005F0E74" w:rsidRPr="005F0E74">
          <w:pgSz w:w="11910" w:h="16840"/>
          <w:pgMar w:top="800" w:right="1040" w:bottom="280" w:left="1200" w:header="720" w:footer="720" w:gutter="0"/>
          <w:cols w:space="720"/>
        </w:sectPr>
      </w:pPr>
    </w:p>
    <w:p w:rsidR="005F0E74" w:rsidRPr="005F0E74" w:rsidRDefault="005F0E74" w:rsidP="005F0E74">
      <w:pPr>
        <w:widowControl/>
        <w:rPr>
          <w:rFonts w:ascii="標楷體" w:eastAsia="標楷體" w:hAnsi="標楷體" w:cs="Times New Roman"/>
          <w:color w:val="000000"/>
        </w:rPr>
      </w:pPr>
      <w:r w:rsidRPr="005F0E74">
        <w:rPr>
          <w:rFonts w:ascii="標楷體" w:eastAsia="標楷體" w:hAnsi="標楷體" w:cs="Times New Roman"/>
          <w:color w:val="000000"/>
        </w:rPr>
        <w:lastRenderedPageBreak/>
        <w:t>市級課程補充對照表</w:t>
      </w:r>
    </w:p>
    <w:p w:rsidR="005F0E74" w:rsidRPr="005F0E74" w:rsidRDefault="005F0E74" w:rsidP="005F0E74">
      <w:pPr>
        <w:widowControl/>
        <w:jc w:val="center"/>
        <w:rPr>
          <w:rFonts w:ascii="標楷體" w:eastAsia="標楷體" w:hAnsi="標楷體" w:cs="Times New Roman"/>
          <w:b/>
          <w:color w:val="000000"/>
          <w:sz w:val="36"/>
          <w:szCs w:val="36"/>
        </w:rPr>
      </w:pPr>
      <w:r w:rsidRPr="005F0E74">
        <w:rPr>
          <w:rFonts w:ascii="標楷體" w:eastAsia="標楷體" w:hAnsi="標楷體" w:cs="Times New Roman" w:hint="eastAsia"/>
          <w:b/>
          <w:color w:val="000000"/>
          <w:sz w:val="36"/>
          <w:szCs w:val="36"/>
        </w:rPr>
        <w:t>新北市海洋教育市級課程</w:t>
      </w:r>
      <w:r w:rsidRPr="005F0E74">
        <w:rPr>
          <w:rFonts w:ascii="標楷體" w:eastAsia="標楷體" w:hAnsi="標楷體" w:cs="Times New Roman"/>
          <w:b/>
          <w:color w:val="000000"/>
          <w:sz w:val="36"/>
          <w:szCs w:val="36"/>
        </w:rPr>
        <w:t>補充對照表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38"/>
        <w:gridCol w:w="1843"/>
        <w:gridCol w:w="1701"/>
        <w:gridCol w:w="1370"/>
        <w:gridCol w:w="756"/>
        <w:gridCol w:w="1559"/>
        <w:gridCol w:w="5245"/>
      </w:tblGrid>
      <w:tr w:rsidR="005F0E74" w:rsidRPr="005F0E74" w:rsidTr="0091356B">
        <w:tc>
          <w:tcPr>
            <w:tcW w:w="1838" w:type="dxa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>撰寫人</w:t>
            </w:r>
          </w:p>
        </w:tc>
        <w:tc>
          <w:tcPr>
            <w:tcW w:w="3544" w:type="dxa"/>
            <w:gridSpan w:val="2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洪佳愉</w:t>
            </w:r>
          </w:p>
        </w:tc>
        <w:tc>
          <w:tcPr>
            <w:tcW w:w="2126" w:type="dxa"/>
            <w:gridSpan w:val="2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>使用教案名稱</w:t>
            </w:r>
          </w:p>
        </w:tc>
        <w:tc>
          <w:tcPr>
            <w:tcW w:w="6804" w:type="dxa"/>
            <w:gridSpan w:val="2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看見臺灣、看見海洋</w:t>
            </w:r>
          </w:p>
        </w:tc>
      </w:tr>
      <w:tr w:rsidR="005F0E74" w:rsidRPr="005F0E74" w:rsidTr="0091356B">
        <w:tc>
          <w:tcPr>
            <w:tcW w:w="1838" w:type="dxa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>海洋教育分類</w:t>
            </w:r>
          </w:p>
        </w:tc>
        <w:tc>
          <w:tcPr>
            <w:tcW w:w="12474" w:type="dxa"/>
            <w:gridSpan w:val="6"/>
            <w:vAlign w:val="center"/>
          </w:tcPr>
          <w:p w:rsidR="005F0E74" w:rsidRPr="005F0E74" w:rsidRDefault="007E1FE9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908331405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5F0E74" w:rsidRPr="005F0E74">
              <w:rPr>
                <w:rFonts w:ascii="標楷體" w:eastAsia="標楷體" w:hAnsi="標楷體" w:cs="Times New Roman"/>
                <w:szCs w:val="20"/>
              </w:rPr>
              <w:t xml:space="preserve">洋休閒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775749141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5F0E74" w:rsidRPr="005F0E74">
              <w:rPr>
                <w:rFonts w:ascii="標楷體" w:eastAsia="標楷體" w:hAnsi="標楷體" w:cs="Times New Roman"/>
                <w:szCs w:val="20"/>
              </w:rPr>
              <w:t>洋文化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625927105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/>
                <w:szCs w:val="20"/>
              </w:rPr>
              <w:t>海洋社會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304700549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/>
                <w:szCs w:val="20"/>
              </w:rPr>
              <w:t>海洋科</w:t>
            </w:r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學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33319237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5F0E74" w:rsidRPr="005F0E74">
              <w:rPr>
                <w:rFonts w:ascii="標楷體" w:eastAsia="標楷體" w:hAnsi="標楷體" w:cs="Times New Roman"/>
                <w:szCs w:val="20"/>
              </w:rPr>
              <w:t>洋資源與永續</w:t>
            </w:r>
          </w:p>
        </w:tc>
      </w:tr>
      <w:tr w:rsidR="005F0E74" w:rsidRPr="005F0E74" w:rsidTr="0091356B">
        <w:tc>
          <w:tcPr>
            <w:tcW w:w="1838" w:type="dxa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適用年級</w:t>
            </w:r>
          </w:p>
        </w:tc>
        <w:tc>
          <w:tcPr>
            <w:tcW w:w="5670" w:type="dxa"/>
            <w:gridSpan w:val="4"/>
            <w:vAlign w:val="center"/>
          </w:tcPr>
          <w:p w:rsidR="005F0E74" w:rsidRPr="005F0E74" w:rsidRDefault="007E1FE9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38792390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低年級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631507055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中年級</w:t>
            </w:r>
            <w:r w:rsidR="005F0E74" w:rsidRPr="005F0E74">
              <w:rPr>
                <w:rFonts w:ascii="標楷體" w:eastAsia="標楷體" w:hAnsi="標楷體" w:cs="Times New Roman"/>
                <w:szCs w:val="20"/>
              </w:rPr>
              <w:t xml:space="preserve">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585260215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高年級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674019423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國中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662782298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高中</w:t>
            </w:r>
          </w:p>
        </w:tc>
        <w:tc>
          <w:tcPr>
            <w:tcW w:w="1559" w:type="dxa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實施學期</w:t>
            </w:r>
          </w:p>
        </w:tc>
        <w:tc>
          <w:tcPr>
            <w:tcW w:w="5245" w:type="dxa"/>
            <w:vAlign w:val="center"/>
          </w:tcPr>
          <w:p w:rsidR="005F0E74" w:rsidRPr="005F0E74" w:rsidRDefault="007E1FE9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378347789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上學期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108115151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下學期</w:t>
            </w:r>
          </w:p>
        </w:tc>
      </w:tr>
      <w:tr w:rsidR="005F0E74" w:rsidRPr="005F0E74" w:rsidTr="0091356B">
        <w:tc>
          <w:tcPr>
            <w:tcW w:w="1838" w:type="dxa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合適領域</w:t>
            </w:r>
          </w:p>
        </w:tc>
        <w:tc>
          <w:tcPr>
            <w:tcW w:w="12474" w:type="dxa"/>
            <w:gridSpan w:val="6"/>
            <w:vAlign w:val="center"/>
          </w:tcPr>
          <w:p w:rsidR="005F0E74" w:rsidRPr="005F0E74" w:rsidRDefault="007E1FE9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971115294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語文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2095204243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數學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721031223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社會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508553360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自然與生活科技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777016573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藝術與人文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74741611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健康與體育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45614562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生活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585530603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 xml:space="preserve">綜合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170409656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5F0E74" w:rsidRPr="005F0E74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5F0E74" w:rsidRPr="005F0E74">
              <w:rPr>
                <w:rFonts w:ascii="標楷體" w:eastAsia="標楷體" w:hAnsi="標楷體" w:cs="Times New Roman" w:hint="eastAsia"/>
                <w:szCs w:val="20"/>
              </w:rPr>
              <w:t>彈性</w:t>
            </w:r>
          </w:p>
        </w:tc>
      </w:tr>
      <w:tr w:rsidR="005F0E74" w:rsidRPr="005F0E74" w:rsidTr="0091356B">
        <w:tc>
          <w:tcPr>
            <w:tcW w:w="1838" w:type="dxa"/>
            <w:vMerge w:val="restart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可作為現行教材參考</w:t>
            </w:r>
          </w:p>
        </w:tc>
        <w:tc>
          <w:tcPr>
            <w:tcW w:w="1843" w:type="dxa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版本</w:t>
            </w:r>
          </w:p>
        </w:tc>
        <w:tc>
          <w:tcPr>
            <w:tcW w:w="3071" w:type="dxa"/>
            <w:gridSpan w:val="2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年級</w:t>
            </w:r>
          </w:p>
        </w:tc>
        <w:tc>
          <w:tcPr>
            <w:tcW w:w="7560" w:type="dxa"/>
            <w:gridSpan w:val="3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單元名稱</w:t>
            </w:r>
          </w:p>
        </w:tc>
      </w:tr>
      <w:tr w:rsidR="005F0E74" w:rsidRPr="005F0E74" w:rsidTr="0091356B">
        <w:tc>
          <w:tcPr>
            <w:tcW w:w="1838" w:type="dxa"/>
            <w:vMerge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1843" w:type="dxa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翰林版</w:t>
            </w:r>
          </w:p>
        </w:tc>
        <w:tc>
          <w:tcPr>
            <w:tcW w:w="3071" w:type="dxa"/>
            <w:gridSpan w:val="2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九年級</w:t>
            </w:r>
          </w:p>
        </w:tc>
        <w:tc>
          <w:tcPr>
            <w:tcW w:w="7560" w:type="dxa"/>
            <w:gridSpan w:val="3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國文科〈石滬〉</w:t>
            </w:r>
          </w:p>
        </w:tc>
      </w:tr>
      <w:tr w:rsidR="005F0E74" w:rsidRPr="005F0E74" w:rsidTr="0091356B">
        <w:tc>
          <w:tcPr>
            <w:tcW w:w="1838" w:type="dxa"/>
            <w:vMerge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1843" w:type="dxa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proofErr w:type="gramStart"/>
            <w:r w:rsidRPr="005F0E74">
              <w:rPr>
                <w:rFonts w:ascii="標楷體" w:eastAsia="標楷體" w:hAnsi="標楷體" w:cs="Times New Roman" w:hint="eastAsia"/>
                <w:szCs w:val="20"/>
              </w:rPr>
              <w:t>康軒版</w:t>
            </w:r>
            <w:proofErr w:type="gramEnd"/>
          </w:p>
        </w:tc>
        <w:tc>
          <w:tcPr>
            <w:tcW w:w="3071" w:type="dxa"/>
            <w:gridSpan w:val="2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七年級</w:t>
            </w:r>
          </w:p>
        </w:tc>
        <w:tc>
          <w:tcPr>
            <w:tcW w:w="7560" w:type="dxa"/>
            <w:gridSpan w:val="3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自然科〈海洋生態系〉</w:t>
            </w:r>
          </w:p>
        </w:tc>
      </w:tr>
      <w:tr w:rsidR="005F0E74" w:rsidRPr="005F0E74" w:rsidTr="0091356B">
        <w:tc>
          <w:tcPr>
            <w:tcW w:w="1838" w:type="dxa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關鍵字</w:t>
            </w:r>
          </w:p>
        </w:tc>
        <w:tc>
          <w:tcPr>
            <w:tcW w:w="12474" w:type="dxa"/>
            <w:gridSpan w:val="6"/>
            <w:vAlign w:val="center"/>
          </w:tcPr>
          <w:p w:rsidR="005F0E74" w:rsidRPr="005F0E74" w:rsidRDefault="005F0E74" w:rsidP="0091356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F0E74">
              <w:rPr>
                <w:rFonts w:ascii="標楷體" w:eastAsia="標楷體" w:hAnsi="標楷體" w:cs="Times New Roman" w:hint="eastAsia"/>
                <w:szCs w:val="20"/>
              </w:rPr>
              <w:t>石滬、捕撈、養殖漁業</w:t>
            </w:r>
          </w:p>
        </w:tc>
      </w:tr>
      <w:tr w:rsidR="005F0E74" w:rsidRPr="005F0E74" w:rsidTr="0091356B">
        <w:tc>
          <w:tcPr>
            <w:tcW w:w="14312" w:type="dxa"/>
            <w:gridSpan w:val="7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>市級課程補充對照表</w:t>
            </w:r>
          </w:p>
        </w:tc>
      </w:tr>
      <w:tr w:rsidR="005F0E74" w:rsidRPr="005F0E74" w:rsidTr="0091356B">
        <w:tc>
          <w:tcPr>
            <w:tcW w:w="3681" w:type="dxa"/>
            <w:gridSpan w:val="2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補充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/新增項目</w:t>
            </w:r>
          </w:p>
        </w:tc>
        <w:tc>
          <w:tcPr>
            <w:tcW w:w="10631" w:type="dxa"/>
            <w:gridSpan w:val="5"/>
            <w:vAlign w:val="center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>新增部分</w:t>
            </w:r>
          </w:p>
        </w:tc>
      </w:tr>
      <w:tr w:rsidR="005F0E74" w:rsidRPr="005F0E74" w:rsidTr="0091356B">
        <w:tc>
          <w:tcPr>
            <w:tcW w:w="3681" w:type="dxa"/>
            <w:gridSpan w:val="2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守滬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傳承石滬百年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永續漁法</w:t>
            </w:r>
            <w:proofErr w:type="gramEnd"/>
          </w:p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公視特約記者 劉啟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稜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陳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淯茜</w:t>
            </w:r>
            <w:proofErr w:type="gramEnd"/>
          </w:p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※本文轉載自 公視《我們的島》節目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—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【守滬】</w:t>
            </w:r>
          </w:p>
        </w:tc>
        <w:tc>
          <w:tcPr>
            <w:tcW w:w="10631" w:type="dxa"/>
            <w:gridSpan w:val="5"/>
          </w:tcPr>
          <w:p w:rsidR="005F0E74" w:rsidRPr="005F0E74" w:rsidRDefault="007E1FE9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  <w:szCs w:val="24"/>
              </w:rPr>
            </w:pPr>
            <w:hyperlink r:id="rId14" w:history="1">
              <w:r w:rsidR="005F0E74" w:rsidRPr="005F0E74">
                <w:rPr>
                  <w:rStyle w:val="a6"/>
                  <w:rFonts w:ascii="標楷體" w:eastAsia="標楷體" w:hAnsi="標楷體" w:cs="Times New Roman"/>
                  <w:szCs w:val="24"/>
                </w:rPr>
                <w:t>https://e-info.org.tw/node/232992</w:t>
              </w:r>
            </w:hyperlink>
          </w:p>
          <w:p w:rsidR="005F0E74" w:rsidRPr="005F0E74" w:rsidRDefault="005F0E74" w:rsidP="005F0E74">
            <w:pPr>
              <w:pStyle w:val="Web"/>
              <w:numPr>
                <w:ilvl w:val="0"/>
                <w:numId w:val="1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石滬說明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1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保留場域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1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傳承危機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1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石滬保留價值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Helvetica" w:hint="eastAsia"/>
                <w:color w:val="000000"/>
                <w:kern w:val="0"/>
                <w:szCs w:val="24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下午時分，伴隨著退潮，桃園新屋的海邊開始熱鬧起來，舉著大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螯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的螃蟹出來覓食，周邊居民也趁這個時候，到潮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間帶挖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點海螺、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抓點魚蝦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；在海邊另一側，一群人也來到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潮間帶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，他們並不是來覓食，是為了來修築百年石滬。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lastRenderedPageBreak/>
              <w:t>石滬是一種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傳統捕魚方式，已經維持百年以上，利用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潮間帶的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陷阱漁法，將當地石材堆砌成石牆。漲潮時海水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淹沒滬堤，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魚蝦進入石滬。當海水緩緩退去，自然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就會困在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淺灘中，能輕易捕抓，同時也是比較友善環境，讓資源永續的漁法。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桃園市新屋地區的石滬群，是目前台灣本島保存較完整的11座石滬，在地民間團體不希望特殊的客家漁業文化消逝，充當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起守滬人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，只要一有時間，就結伴來到海邊修復石滬。他們修復的，不僅是老祖先的智慧，也是為魚蟹、貝類、螃蟹提供一個躲藏的好去處。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不過，這些5、60歲以上在地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守滬人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，非常擔心石滬文化會停滯在他們這個世代，就在今年7、8月分，廣招各地青年，進行一日石滬修築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匠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師的體驗，讓更多人了解新屋地區過往的歷史和文化。 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石滬旁的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古宅中，遺留那段歷史的印記，從前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石滬捕上來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的魚，需要挑回家處理，所以房子都會蓋得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離石滬很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近。從小在這邊長大的桃園市新屋區愛鄉協會理事長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李仁富說到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，過去這裡的居民，大多過著半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農半漁的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生活。從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石滬捕上來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的魚，為了保持鮮度，捕上岸後會馬上做處理，大條的魚可能拿去市場賣掉或直接吃掉，小條的就會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曬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成魚乾保存。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現今社區因為傳統漁業沒落，人口外流，整個聚落不到1000人，不過這裡卻有座特別醒目的大廟，主神為七尊夫人與七尊王爺。李仁富說，當年有艘王船擱淺在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石滬中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，當地居民因此興建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小廟來供奉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，而後生活風調雨順，慢慢擴建成現在大家所看到的大廟，可以說守護石滬超過140年。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從文化、信仰到生活，大自然賜予的資源，養活每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個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世代。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石滬就像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家後院的冰箱，從小在這裡長大的居民，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回憶著石滬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捕魚的盛況。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曾經魚多到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會跳到石滬上，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用撿的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都可以裝滿魚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簍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。</w:t>
            </w:r>
          </w:p>
          <w:p w:rsidR="005F0E74" w:rsidRPr="005F0E74" w:rsidRDefault="005F0E74" w:rsidP="0091356B">
            <w:pPr>
              <w:shd w:val="clear" w:color="auto" w:fill="FFFFFF"/>
              <w:spacing w:after="100" w:afterAutospacing="1"/>
              <w:textAlignment w:val="baseline"/>
              <w:rPr>
                <w:rFonts w:ascii="標楷體" w:eastAsia="標楷體" w:hAnsi="標楷體" w:cs="Times New Roman"/>
                <w:color w:val="000000"/>
                <w:szCs w:val="24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</w:rPr>
              <w:t>或許石滬的實際用途已經不再符合效益，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把石滬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當成一個載體，承載著祖先的智慧，長輩的記憶，以及讓現代人感受與自然相處的和諧。修築好的石滬，就像連成一條的海洋育嬰房，也許我們看似花了好多力氣，但其實，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</w:rPr>
              <w:t>石滬給我們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</w:rPr>
              <w:t>的，比想像的還要更多。</w:t>
            </w:r>
          </w:p>
        </w:tc>
      </w:tr>
      <w:tr w:rsidR="005F0E74" w:rsidRPr="005F0E74" w:rsidTr="0091356B">
        <w:tc>
          <w:tcPr>
            <w:tcW w:w="3681" w:type="dxa"/>
            <w:gridSpan w:val="2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台灣養殖漁業大王集中在西部！台南虱目魚、蝦、文蛤養殖量全台第一</w:t>
            </w:r>
          </w:p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hint="eastAsia"/>
                <w:color w:val="333333"/>
                <w:shd w:val="clear" w:color="auto" w:fill="FFFFFF"/>
              </w:rPr>
              <w:t xml:space="preserve">撰文＝王昱堯（社群帳號「圖地 </w:t>
            </w:r>
            <w:proofErr w:type="spellStart"/>
            <w:r w:rsidRPr="005F0E74">
              <w:rPr>
                <w:rFonts w:ascii="標楷體" w:eastAsia="標楷體" w:hAnsi="標楷體" w:hint="eastAsia"/>
                <w:color w:val="333333"/>
                <w:shd w:val="clear" w:color="auto" w:fill="FFFFFF"/>
              </w:rPr>
              <w:t>todemap</w:t>
            </w:r>
            <w:proofErr w:type="spellEnd"/>
            <w:r w:rsidRPr="005F0E74">
              <w:rPr>
                <w:rFonts w:ascii="標楷體" w:eastAsia="標楷體" w:hAnsi="標楷體" w:hint="eastAsia"/>
                <w:color w:val="333333"/>
                <w:shd w:val="clear" w:color="auto" w:fill="FFFFFF"/>
              </w:rPr>
              <w:t>」創辦人）、賴進貴（台灣大學地理學教授）</w:t>
            </w:r>
          </w:p>
        </w:tc>
        <w:tc>
          <w:tcPr>
            <w:tcW w:w="10631" w:type="dxa"/>
            <w:gridSpan w:val="5"/>
          </w:tcPr>
          <w:p w:rsidR="005F0E74" w:rsidRPr="005F0E74" w:rsidRDefault="007E1FE9" w:rsidP="0091356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hyperlink r:id="rId15" w:history="1">
              <w:r w:rsidR="005F0E74" w:rsidRPr="005F0E74">
                <w:rPr>
                  <w:rStyle w:val="a6"/>
                  <w:rFonts w:ascii="標楷體" w:eastAsia="標楷體" w:hAnsi="標楷體" w:cs="Times New Roman"/>
                </w:rPr>
                <w:t>https://www.foodnext.net/news/newstrack/paper/5111740115</w:t>
              </w:r>
            </w:hyperlink>
          </w:p>
          <w:p w:rsidR="005F0E74" w:rsidRPr="005F0E74" w:rsidRDefault="005F0E74" w:rsidP="005F0E74">
            <w:pPr>
              <w:pStyle w:val="Web"/>
              <w:numPr>
                <w:ilvl w:val="0"/>
                <w:numId w:val="2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養殖漁業介紹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2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lastRenderedPageBreak/>
              <w:t>養殖漁業主要水產介紹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2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野生海洋日漸枯竭 養殖漁業更受重視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台灣西南部沿海屬於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潟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湖地形，養殖漁業的發展歷史已超過百年。如今許多地區已開闢為棋盤狀的魚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塭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，形成頗具規模的養殖產業，而各個縣市基於地理環境與歷史背景的不同，各有其盛行的養殖魚種。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jc w:val="center"/>
              <w:rPr>
                <w:rFonts w:ascii="標楷體" w:eastAsia="標楷體" w:hAnsi="標楷體" w:cs="Times New Roman"/>
                <w:b/>
                <w:bCs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b/>
                <w:bCs/>
                <w:noProof/>
                <w:color w:val="000000"/>
              </w:rPr>
              <w:drawing>
                <wp:inline distT="0" distB="0" distL="0" distR="0" wp14:anchorId="125A1D1F" wp14:editId="261BDDFE">
                  <wp:extent cx="4114800" cy="4688840"/>
                  <wp:effectExtent l="0" t="0" r="0" b="0"/>
                  <wp:docPr id="2" name="圖片 2" descr="https://www.foodnext.net/dispUploadBox/PJ-FOODNEXT/Ckeditor/photo-50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www.foodnext.net/dispUploadBox/PJ-FOODNEXT/Ckeditor/photo-503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4605" cy="4711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lastRenderedPageBreak/>
              <w:t>台灣西南部養殖漁業盛行，各縣市各有盛行的養殖魚種。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（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圖片來源：商周出版提供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）</w:t>
            </w:r>
            <w:proofErr w:type="gramEnd"/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台灣養殖漁業主要水產介紹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虱目魚是養殖規模最大的魚類，養殖面積多達8707公頃，年產值超過35億元。半數以上的虱目魚都產自台南沿海魚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塭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，台灣各地也不難看見「台南虱目魚」的店家招牌。早期台南沿海為範圍廣大的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潟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湖，在地形的優勢之下，台南各類養殖漁業的產量幾乎都名列前茅。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吳郭魚是另一大重要魚種，其環境適應力強、養殖成本低、市場接受度高，因而在台灣被廣泛養殖。桃園市是吳郭魚養殖面積最大的縣市，雖然當地沒有沿海魚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塭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，但遍布桃園台地的農業灌溉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埤塘有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許多都作為養殖魚池所用。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屏東養殖漁業以石斑魚著稱。石斑魚肉質細嫩，魚身有花斑，是經濟價值相當高的魚種。2010年起石斑魚開始大量銷往中國與香港，但近期被中國政府以殘留禁藥為由停止進口。此項禁令是政治意義或食品安全考量引發各界關注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貝殼類也是養殖漁業的重要項目。牡蠣（又稱生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蠔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，閩南語稱蚵仔ô-á）、文蛤（又稱蛤蜊，閩南語稱蚶仔ham-á）是最主要的種類，兩者的養殖面積都超過魚類。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牡蠣的養殖方法多半是利用竹竿垂掛在海面上，漲潮時海水淹過牡蠣，退潮時再露出，這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種仿似潮間帶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的環境適合牡蠣生長。文蛤則是完全生長在海水之中，通常躲藏在池底的砂質環境。另外，有些魚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塭會混養文蛤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與虱目魚以增進互利共生的效益。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野生海洋日漸枯竭 養殖漁業更受重視</w:t>
            </w:r>
          </w:p>
          <w:p w:rsidR="005F0E74" w:rsidRPr="005F0E74" w:rsidRDefault="005F0E74" w:rsidP="0091356B">
            <w:pPr>
              <w:spacing w:before="120"/>
              <w:ind w:firstLineChars="200" w:firstLine="480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t>由於過度捕撈的緣故，野生海洋資源有日漸枯竭的趨勢，養殖漁業因而更為重要。要如何讓生產品質穩定、因應天候劇烈變化、緩</w:t>
            </w:r>
            <w:proofErr w:type="gramStart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解漁電</w:t>
            </w:r>
            <w:proofErr w:type="gramEnd"/>
            <w:r w:rsidRPr="005F0E74">
              <w:rPr>
                <w:rFonts w:ascii="標楷體" w:eastAsia="標楷體" w:hAnsi="標楷體" w:cs="Times New Roman" w:hint="eastAsia"/>
                <w:color w:val="000000"/>
              </w:rPr>
              <w:t>搶地衝突，是養殖漁業所面臨的眾多挑戰。</w:t>
            </w:r>
          </w:p>
        </w:tc>
      </w:tr>
      <w:tr w:rsidR="005F0E74" w:rsidRPr="005F0E74" w:rsidTr="0091356B">
        <w:tc>
          <w:tcPr>
            <w:tcW w:w="3681" w:type="dxa"/>
            <w:gridSpan w:val="2"/>
          </w:tcPr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養殖漁業的永續性</w:t>
            </w:r>
          </w:p>
          <w:p w:rsidR="005F0E74" w:rsidRPr="005F0E74" w:rsidRDefault="007E1FE9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hyperlink r:id="rId17" w:tgtFrame="_blank" w:tooltip=" Science Animated《Sustainable aquaculture》(另開新視窗)" w:history="1">
              <w:r w:rsidR="005F0E74" w:rsidRPr="005F0E74">
                <w:rPr>
                  <w:rStyle w:val="a6"/>
                  <w:rFonts w:ascii="標楷體" w:eastAsia="標楷體" w:hAnsi="標楷體" w:cs="Helvetica"/>
                  <w:color w:val="3680C0"/>
                  <w:sz w:val="28"/>
                  <w:szCs w:val="28"/>
                  <w:shd w:val="clear" w:color="auto" w:fill="F6F6F6"/>
                </w:rPr>
                <w:t>Science Animated《Sustainable aquaculture》</w:t>
              </w:r>
            </w:hyperlink>
          </w:p>
        </w:tc>
        <w:tc>
          <w:tcPr>
            <w:tcW w:w="10631" w:type="dxa"/>
            <w:gridSpan w:val="5"/>
          </w:tcPr>
          <w:p w:rsidR="005F0E74" w:rsidRPr="005F0E74" w:rsidRDefault="007E1FE9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hyperlink r:id="rId18" w:history="1">
              <w:r w:rsidR="005F0E74" w:rsidRPr="005F0E74">
                <w:rPr>
                  <w:rStyle w:val="a6"/>
                  <w:rFonts w:ascii="標楷體" w:eastAsia="標楷體" w:hAnsi="標楷體" w:cs="Times New Roman"/>
                </w:rPr>
                <w:t>https://agritech-foresight.atri.org.tw/article/contents/1911</w:t>
              </w:r>
            </w:hyperlink>
          </w:p>
          <w:p w:rsidR="005F0E74" w:rsidRPr="005F0E74" w:rsidRDefault="005F0E74" w:rsidP="005F0E74">
            <w:pPr>
              <w:pStyle w:val="Web"/>
              <w:numPr>
                <w:ilvl w:val="0"/>
                <w:numId w:val="3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海鮮來源</w:t>
            </w:r>
          </w:p>
          <w:p w:rsidR="005F0E74" w:rsidRPr="005F0E74" w:rsidRDefault="005F0E74" w:rsidP="005F0E74">
            <w:pPr>
              <w:pStyle w:val="Web"/>
              <w:numPr>
                <w:ilvl w:val="0"/>
                <w:numId w:val="3"/>
              </w:numPr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b/>
                <w:bCs/>
                <w:color w:val="000000"/>
                <w:szCs w:val="22"/>
              </w:rPr>
            </w:pPr>
            <w:r w:rsidRPr="005F0E74">
              <w:rPr>
                <w:rFonts w:ascii="標楷體" w:eastAsia="標楷體" w:hAnsi="標楷體" w:cs="Times New Roman" w:hint="eastAsia"/>
                <w:b/>
                <w:bCs/>
                <w:color w:val="000000"/>
                <w:szCs w:val="22"/>
              </w:rPr>
              <w:t>養殖漁業永續</w:t>
            </w:r>
          </w:p>
          <w:p w:rsidR="005F0E74" w:rsidRPr="005F0E74" w:rsidRDefault="005F0E74" w:rsidP="0091356B">
            <w:pPr>
              <w:pStyle w:val="Web"/>
              <w:shd w:val="clear" w:color="auto" w:fill="F6F6F6"/>
              <w:spacing w:before="375" w:beforeAutospacing="0" w:after="375" w:afterAutospacing="0" w:line="432" w:lineRule="atLeast"/>
              <w:jc w:val="both"/>
              <w:rPr>
                <w:rFonts w:ascii="標楷體" w:eastAsia="標楷體" w:hAnsi="標楷體" w:cs="Times New Roman"/>
                <w:color w:val="000000"/>
                <w:szCs w:val="22"/>
              </w:rPr>
            </w:pPr>
            <w:r w:rsidRPr="005F0E74">
              <w:rPr>
                <w:rFonts w:ascii="標楷體" w:eastAsia="標楷體" w:hAnsi="標楷體" w:hint="eastAsia"/>
                <w:color w:val="333333"/>
                <w:sz w:val="28"/>
                <w:szCs w:val="28"/>
              </w:rPr>
              <w:t xml:space="preserve">    </w:t>
            </w:r>
            <w:r w:rsidRPr="005F0E74">
              <w:rPr>
                <w:rFonts w:ascii="標楷體" w:eastAsia="標楷體" w:hAnsi="標楷體" w:cs="Times New Roman"/>
                <w:color w:val="000000"/>
                <w:szCs w:val="22"/>
              </w:rPr>
              <w:t>海鮮為人類攝取蛋白質的主要來源之一，全球海鮮產品</w:t>
            </w:r>
            <w:proofErr w:type="gramStart"/>
            <w:r w:rsidRPr="005F0E74">
              <w:rPr>
                <w:rFonts w:ascii="標楷體" w:eastAsia="標楷體" w:hAnsi="標楷體" w:cs="Times New Roman"/>
                <w:color w:val="000000"/>
                <w:szCs w:val="22"/>
              </w:rPr>
              <w:t>供應鏈可分為</w:t>
            </w:r>
            <w:proofErr w:type="gramEnd"/>
            <w:r w:rsidRPr="005F0E74">
              <w:rPr>
                <w:rFonts w:ascii="標楷體" w:eastAsia="標楷體" w:hAnsi="標楷體" w:cs="Times New Roman"/>
                <w:color w:val="000000"/>
                <w:szCs w:val="22"/>
              </w:rPr>
              <w:t>水產養殖與漁業捕撈。西元2050年人口預計將成長至90億人，其人口增長、人口老齡化將帶來食物與資源的需求上揚趨</w:t>
            </w:r>
            <w:r w:rsidRPr="005F0E74">
              <w:rPr>
                <w:rFonts w:ascii="標楷體" w:eastAsia="標楷體" w:hAnsi="標楷體" w:cs="Times New Roman"/>
                <w:color w:val="000000"/>
                <w:szCs w:val="22"/>
              </w:rPr>
              <w:lastRenderedPageBreak/>
              <w:t>勢，對於漁業也帶來重大的環境負擔。目前漁業現況，許多漁業養殖地已進行漁業管理的改善措施、限制捕撈的規範，以利於漁業生態的永續性。</w:t>
            </w:r>
          </w:p>
          <w:p w:rsidR="005F0E74" w:rsidRPr="005F0E74" w:rsidRDefault="005F0E74" w:rsidP="0091356B">
            <w:pPr>
              <w:shd w:val="clear" w:color="auto" w:fill="F6F6F6"/>
              <w:spacing w:before="375" w:after="375" w:line="432" w:lineRule="atLeast"/>
              <w:jc w:val="both"/>
              <w:rPr>
                <w:rFonts w:ascii="標楷體" w:eastAsia="標楷體" w:hAnsi="標楷體" w:cs="Times New Roman"/>
                <w:color w:val="000000"/>
              </w:rPr>
            </w:pPr>
            <w:r w:rsidRPr="005F0E74">
              <w:rPr>
                <w:rFonts w:ascii="標楷體" w:eastAsia="標楷體" w:hAnsi="標楷體" w:cs="Times New Roman"/>
                <w:color w:val="000000"/>
              </w:rPr>
              <w:t xml:space="preserve">　　我們該如何面對人類對於海鮮攝取量的需求？水產養殖可有效管控對於自然環境和水土資源具有高度的依賴性，並提供貝類、甲殼類、魚類、海藻等多樣化漁業產品，英國</w:t>
            </w:r>
            <w:proofErr w:type="spellStart"/>
            <w:r w:rsidRPr="005F0E74">
              <w:rPr>
                <w:rFonts w:ascii="標楷體" w:eastAsia="標楷體" w:hAnsi="標楷體" w:cs="Times New Roman"/>
                <w:color w:val="000000"/>
              </w:rPr>
              <w:t>Cefas</w:t>
            </w:r>
            <w:proofErr w:type="spellEnd"/>
            <w:r w:rsidRPr="005F0E74">
              <w:rPr>
                <w:rFonts w:ascii="標楷體" w:eastAsia="標楷體" w:hAnsi="標楷體" w:cs="Times New Roman"/>
                <w:color w:val="000000"/>
              </w:rPr>
              <w:t>(環境、漁業和水產養殖科學中心)中心致力於推廣新的漁業生產方式，改善各國水產養殖方法，以降低使用海洋空間之需求，減緩海洋環境所承受的壓力，達到環境保護之永續環境訴求。</w:t>
            </w:r>
          </w:p>
          <w:p w:rsidR="005F0E74" w:rsidRPr="005F0E74" w:rsidRDefault="005F0E74" w:rsidP="0091356B">
            <w:pPr>
              <w:shd w:val="clear" w:color="auto" w:fill="F6F6F6"/>
              <w:spacing w:before="375" w:after="375" w:line="432" w:lineRule="atLeast"/>
              <w:jc w:val="center"/>
              <w:rPr>
                <w:rFonts w:ascii="標楷體" w:eastAsia="標楷體" w:hAnsi="標楷體" w:cs="新細明體"/>
                <w:color w:val="333333"/>
                <w:kern w:val="0"/>
                <w:sz w:val="28"/>
                <w:szCs w:val="28"/>
              </w:rPr>
            </w:pPr>
            <w:r w:rsidRPr="005F0E74">
              <w:rPr>
                <w:rFonts w:ascii="標楷體" w:eastAsia="標楷體" w:hAnsi="標楷體"/>
                <w:noProof/>
              </w:rPr>
              <w:drawing>
                <wp:inline distT="0" distB="0" distL="0" distR="0" wp14:anchorId="162027CD" wp14:editId="6AA3A4BC">
                  <wp:extent cx="5295900" cy="2956768"/>
                  <wp:effectExtent l="0" t="0" r="0" b="0"/>
                  <wp:docPr id="4" name="圖片 4">
                    <a:hlinkClick xmlns:a="http://schemas.openxmlformats.org/drawingml/2006/main" r:id="rId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圖片 1">
                            <a:hlinkClick r:id="rId17"/>
                          </pic:cNvPr>
                          <pic:cNvPicPr/>
                        </pic:nvPicPr>
                        <pic:blipFill rotWithShape="1">
                          <a:blip r:embed="rId19"/>
                          <a:srcRect l="31173" t="52369" r="29568" b="12562"/>
                          <a:stretch/>
                        </pic:blipFill>
                        <pic:spPr bwMode="auto">
                          <a:xfrm>
                            <a:off x="0" y="0"/>
                            <a:ext cx="5316274" cy="2968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F0E74" w:rsidRPr="005F0E74" w:rsidRDefault="005F0E74" w:rsidP="0091356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</w:tr>
    </w:tbl>
    <w:p w:rsidR="005F0E74" w:rsidRPr="005F0E74" w:rsidRDefault="005F0E74" w:rsidP="005F0E74">
      <w:pPr>
        <w:widowControl/>
        <w:rPr>
          <w:rFonts w:ascii="標楷體" w:eastAsia="標楷體" w:hAnsi="標楷體" w:cs="Times New Roman"/>
          <w:color w:val="000000"/>
        </w:rPr>
      </w:pPr>
      <w:r w:rsidRPr="005F0E74">
        <w:rPr>
          <w:rFonts w:ascii="標楷體" w:eastAsia="標楷體" w:hAnsi="標楷體" w:cs="Cambria Math"/>
          <w:color w:val="000000"/>
        </w:rPr>
        <w:lastRenderedPageBreak/>
        <w:t>◎</w:t>
      </w:r>
      <w:r w:rsidRPr="005F0E74">
        <w:rPr>
          <w:rFonts w:ascii="標楷體" w:eastAsia="標楷體" w:hAnsi="標楷體" w:cs="Times New Roman"/>
          <w:color w:val="000000"/>
        </w:rPr>
        <w:t>表格不敷使用請自行增列</w:t>
      </w:r>
    </w:p>
    <w:p w:rsidR="005F0E74" w:rsidRPr="005F0E74" w:rsidRDefault="005F0E74" w:rsidP="005F0E74">
      <w:pPr>
        <w:rPr>
          <w:rFonts w:ascii="標楷體" w:eastAsia="標楷體" w:hAnsi="標楷體"/>
        </w:rPr>
      </w:pPr>
    </w:p>
    <w:p w:rsidR="005F0E74" w:rsidRPr="005F0E74" w:rsidRDefault="005F0E74" w:rsidP="005F0E74">
      <w:pPr>
        <w:rPr>
          <w:rFonts w:ascii="標楷體" w:eastAsia="標楷體" w:hAnsi="標楷體"/>
        </w:rPr>
      </w:pPr>
    </w:p>
    <w:p w:rsidR="00CB6D18" w:rsidRPr="005F0E74" w:rsidRDefault="00CB6D18">
      <w:pPr>
        <w:rPr>
          <w:rFonts w:ascii="標楷體" w:eastAsia="標楷體" w:hAnsi="標楷體"/>
        </w:rPr>
      </w:pPr>
    </w:p>
    <w:sectPr w:rsidR="00CB6D18" w:rsidRPr="005F0E74" w:rsidSect="009A243A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_HKSCS-ExtB">
    <w:altName w:val="MingLiU_HKSCS-ExtB"/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AA2F8A"/>
    <w:multiLevelType w:val="hybridMultilevel"/>
    <w:tmpl w:val="4C62A16C"/>
    <w:lvl w:ilvl="0" w:tplc="5E4C08D0">
      <w:start w:val="1"/>
      <w:numFmt w:val="decimal"/>
      <w:lvlText w:val="%1."/>
      <w:lvlJc w:val="left"/>
      <w:pPr>
        <w:ind w:left="360" w:hanging="360"/>
      </w:pPr>
      <w:rPr>
        <w:rFonts w:ascii="Times New Roman" w:eastAsia="標楷體" w:hAnsi="Times New Roman" w:cs="Times New Roman" w:hint="default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2BE47E45"/>
    <w:multiLevelType w:val="hybridMultilevel"/>
    <w:tmpl w:val="4C62A16C"/>
    <w:lvl w:ilvl="0" w:tplc="5E4C08D0">
      <w:start w:val="1"/>
      <w:numFmt w:val="decimal"/>
      <w:lvlText w:val="%1."/>
      <w:lvlJc w:val="left"/>
      <w:pPr>
        <w:ind w:left="360" w:hanging="360"/>
      </w:pPr>
      <w:rPr>
        <w:rFonts w:ascii="Times New Roman" w:eastAsia="標楷體" w:hAnsi="Times New Roman" w:cs="Times New Roman" w:hint="default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DBD584C"/>
    <w:multiLevelType w:val="hybridMultilevel"/>
    <w:tmpl w:val="4C62A16C"/>
    <w:lvl w:ilvl="0" w:tplc="5E4C08D0">
      <w:start w:val="1"/>
      <w:numFmt w:val="decimal"/>
      <w:lvlText w:val="%1."/>
      <w:lvlJc w:val="left"/>
      <w:pPr>
        <w:ind w:left="360" w:hanging="360"/>
      </w:pPr>
      <w:rPr>
        <w:rFonts w:ascii="Times New Roman" w:eastAsia="標楷體" w:hAnsi="Times New Roman" w:cs="Times New Roman" w:hint="default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1E7062"/>
    <w:rsid w:val="001E7062"/>
    <w:rsid w:val="005F0E74"/>
    <w:rsid w:val="007E1FE9"/>
    <w:rsid w:val="00CB6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5:docId w15:val="{F2965D85-EE6B-4E77-B998-0323BB955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細明體_HKSCS-ExtB" w:eastAsia="細明體_HKSCS-ExtB" w:hAnsi="細明體_HKSCS-ExtB" w:cs="細明體_HKSCS-ExtB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4"/>
    </w:pPr>
    <w:rPr>
      <w:sz w:val="36"/>
      <w:szCs w:val="3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28"/>
    </w:pPr>
  </w:style>
  <w:style w:type="table" w:styleId="a5">
    <w:name w:val="Table Grid"/>
    <w:basedOn w:val="a1"/>
    <w:uiPriority w:val="39"/>
    <w:rsid w:val="005F0E74"/>
    <w:pPr>
      <w:widowControl/>
      <w:autoSpaceDE/>
      <w:autoSpaceDN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5F0E74"/>
    <w:rPr>
      <w:color w:val="0000FF" w:themeColor="hyperlink"/>
      <w:u w:val="single"/>
    </w:rPr>
  </w:style>
  <w:style w:type="paragraph" w:styleId="Web">
    <w:name w:val="Normal (Web)"/>
    <w:basedOn w:val="a"/>
    <w:uiPriority w:val="99"/>
    <w:unhideWhenUsed/>
    <w:rsid w:val="005F0E74"/>
    <w:pPr>
      <w:widowControl/>
      <w:autoSpaceDE/>
      <w:autoSpaceDN/>
      <w:spacing w:before="100" w:beforeAutospacing="1" w:after="100" w:afterAutospacing="1"/>
    </w:pPr>
    <w:rPr>
      <w:rFonts w:ascii="新細明體" w:eastAsia="新細明體" w:hAnsi="新細明體" w:cs="新細明體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agritech-foresight.atri.org.tw/article/contents/1911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www.youtube.com/watch?v=fu5wvD9iDyU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www.foodnext.net/news/newstrack/paper/5111740115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e-info.org.tw/node/23299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483</Words>
  <Characters>2754</Characters>
  <Application>Microsoft Office Word</Application>
  <DocSecurity>0</DocSecurity>
  <Lines>22</Lines>
  <Paragraphs>6</Paragraphs>
  <ScaleCrop>false</ScaleCrop>
  <Company/>
  <LinksUpToDate>false</LinksUpToDate>
  <CharactersWithSpaces>3231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Yi</cp:lastModifiedBy>
  <cp:revision>3</cp:revision>
  <dcterms:created xsi:type="dcterms:W3CDTF">2023-02-02T09:51:00Z</dcterms:created>
  <dcterms:modified xsi:type="dcterms:W3CDTF">2024-06-05T02:48:00Z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2023-02-02T00:00:00Z</vt:filetime>
  </property>
</Properties>
</file>